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0" w:after="247"/>
        <w:ind w:left="0" w:hanging="0"/>
        <w:rPr/>
      </w:pPr>
      <w:r>
        <w:rPr>
          <w:b/>
          <w:sz w:val="28"/>
        </w:rPr>
        <w:t>Richtlinien für die Betreuende Grundschule Haardt</w:t>
      </w:r>
    </w:p>
    <w:p>
      <w:pPr>
        <w:pStyle w:val="Normal"/>
        <w:numPr>
          <w:ilvl w:val="0"/>
          <w:numId w:val="1"/>
        </w:numPr>
        <w:ind w:left="1095" w:hanging="419"/>
        <w:rPr/>
      </w:pPr>
      <w:r>
        <w:rPr/>
        <w:t>Träger</w:t>
      </w:r>
      <w:r>
        <w:rPr>
          <w:b/>
          <w:sz w:val="28"/>
        </w:rPr>
        <w:t xml:space="preserve"> </w:t>
      </w:r>
    </w:p>
    <w:p>
      <w:pPr>
        <w:pStyle w:val="Normal"/>
        <w:ind w:left="-5" w:hanging="10"/>
        <w:rPr/>
      </w:pPr>
      <w:r>
        <w:rPr/>
        <w:t>Träger des Betreuungsangebotes ist der Förderkreis der Michael-Ende-Grundschule Haardt e.V.</w:t>
      </w:r>
      <w:r>
        <w:rPr>
          <w:b/>
          <w:sz w:val="28"/>
        </w:rPr>
        <w:t xml:space="preserve"> </w:t>
      </w:r>
    </w:p>
    <w:p>
      <w:pPr>
        <w:pStyle w:val="Normal"/>
        <w:spacing w:lineRule="auto" w:line="259" w:before="0" w:after="0"/>
        <w:ind w:left="0" w:hanging="0"/>
        <w:rPr/>
      </w:pPr>
      <w:r>
        <w:rPr>
          <w:b/>
          <w:sz w:val="28"/>
        </w:rPr>
        <w:t xml:space="preserve">   </w:t>
      </w:r>
    </w:p>
    <w:p>
      <w:pPr>
        <w:pStyle w:val="Normal"/>
        <w:numPr>
          <w:ilvl w:val="0"/>
          <w:numId w:val="1"/>
        </w:numPr>
        <w:ind w:left="1095" w:hanging="419"/>
        <w:rPr/>
      </w:pPr>
      <w:r>
        <w:rPr/>
        <w:t>Aufnahmekriterien</w:t>
      </w:r>
    </w:p>
    <w:p>
      <w:pPr>
        <w:pStyle w:val="Normal"/>
        <w:ind w:left="-5" w:hanging="10"/>
        <w:rPr/>
      </w:pPr>
      <w:r>
        <w:rPr/>
        <w:t>Voraussetzung für eine Betreuung der Schulkinder ist, dass deren Eltern Mitglied im Förderkreis der Schule sind.</w:t>
      </w:r>
    </w:p>
    <w:p>
      <w:pPr>
        <w:pStyle w:val="Normal"/>
        <w:spacing w:before="0" w:after="247"/>
        <w:ind w:left="-5" w:hanging="10"/>
        <w:rPr/>
      </w:pPr>
      <w:r>
        <w:rPr/>
        <w:t>Bei der Vergabe der Betreuungsplätze wird der Sozialplan berücksichtigt. Das Betreuungskind muss den Wohnsitz im Ortsteil Haardt nachweisen.</w:t>
      </w:r>
    </w:p>
    <w:p>
      <w:pPr>
        <w:pStyle w:val="Normal"/>
        <w:spacing w:before="0" w:after="244"/>
        <w:ind w:left="-5" w:hanging="10"/>
        <w:rPr/>
      </w:pPr>
      <w:r>
        <w:rPr/>
        <w:t>Die An- oder Abmeldung der Mitgliedschaft ist in der Satzung beschrieben.</w:t>
      </w:r>
    </w:p>
    <w:p>
      <w:pPr>
        <w:pStyle w:val="Normal"/>
        <w:numPr>
          <w:ilvl w:val="0"/>
          <w:numId w:val="1"/>
        </w:numPr>
        <w:ind w:left="1095" w:hanging="419"/>
        <w:rPr/>
      </w:pPr>
      <w:r>
        <w:rPr/>
        <w:t>Betreuungszeiten.</w:t>
      </w:r>
    </w:p>
    <w:p>
      <w:pPr>
        <w:pStyle w:val="Normal"/>
        <w:ind w:left="-5" w:hanging="10"/>
        <w:rPr/>
      </w:pPr>
      <w:r>
        <w:rPr/>
        <w:t xml:space="preserve">Die Betreuung beginnt nach Schulschluss, d.h. für die Erst-und Zweitklässer ab 12h und für die Dritt- und Viertklässer ab 13h. Sie endet um 15/16h. Es kann gewählt werden zwischen einer Betreuung von einmal, zweimal, dreimal, viermal und einer Betreuung von fünfmal pro Woche. Die Betreuung findet nur an Schultagen statt. Ausnahme ist der erste Schultag nach den Sommerferien. </w:t>
      </w:r>
    </w:p>
    <w:p>
      <w:pPr>
        <w:pStyle w:val="Normal"/>
        <w:ind w:left="-5" w:hanging="10"/>
        <w:rPr/>
      </w:pPr>
      <w:r>
        <w:rPr/>
        <w:t>Es sollte für jedes Kind vereinbart sein, an welchen Wochentagen es in die Betreuung kommt.</w:t>
      </w:r>
    </w:p>
    <w:p>
      <w:pPr>
        <w:pStyle w:val="Normal"/>
        <w:spacing w:before="0" w:after="247"/>
        <w:ind w:left="-5" w:hanging="10"/>
        <w:rPr/>
      </w:pPr>
      <w:r>
        <w:rPr/>
        <w:t>Für unvorhergesehene Notfälle kann die “Notfallzehnerkarte” eingesetzt werden.</w:t>
      </w:r>
    </w:p>
    <w:p>
      <w:pPr>
        <w:pStyle w:val="Normal"/>
        <w:spacing w:before="0" w:after="247"/>
        <w:ind w:left="-5" w:hanging="10"/>
        <w:rPr/>
      </w:pPr>
      <w:r>
        <w:rPr/>
        <w:t xml:space="preserve">Die Kinder können entweder abgeholt werden oder allein nach Hause gehen. Dies muss schriftlich von den Erziehungsberechtigen bestätigt werden. Das Formblatt wird bei der Aufnahme in die BGS zugesandt, bzw. ist bei den Betreuer/innen der BGS erhältlich.  </w:t>
      </w:r>
    </w:p>
    <w:p>
      <w:pPr>
        <w:pStyle w:val="Normal"/>
        <w:numPr>
          <w:ilvl w:val="0"/>
          <w:numId w:val="1"/>
        </w:numPr>
        <w:ind w:left="1095" w:hanging="419"/>
        <w:rPr/>
      </w:pPr>
      <w:r>
        <w:rPr/>
        <w:t>Mittagessen</w:t>
      </w:r>
    </w:p>
    <w:p>
      <w:pPr>
        <w:pStyle w:val="Normal"/>
        <w:spacing w:before="0" w:after="247"/>
        <w:ind w:left="-5" w:hanging="10"/>
        <w:rPr/>
      </w:pPr>
      <w:r>
        <w:rPr/>
        <w:t>Die Betreuung schließt ein warmes Mittagessen mit ein. Dieses wird getrennt berechnet.</w:t>
      </w:r>
    </w:p>
    <w:p>
      <w:pPr>
        <w:pStyle w:val="Normal"/>
        <w:numPr>
          <w:ilvl w:val="0"/>
          <w:numId w:val="1"/>
        </w:numPr>
        <w:ind w:left="1095" w:hanging="419"/>
        <w:rPr/>
      </w:pPr>
      <w:r>
        <w:rPr/>
        <w:t>Beiträge</w:t>
      </w:r>
    </w:p>
    <w:p>
      <w:pPr>
        <w:pStyle w:val="Normal"/>
        <w:ind w:left="-5" w:right="146" w:hanging="10"/>
        <w:rPr/>
      </w:pPr>
      <w:r>
        <w:rPr/>
        <w:t xml:space="preserve">Der Mitgliedsbeitrag des Förderkreises beträgt 15€ im Jahr. Wenn ein Kind einmal in der Woche in die Betreuung kommt, fallen zusätzlich Kosten von 40€/Monat, zweimal die Woche 80€/Monat, dreimal die Woche 120€/Monat, viermal die Woche 160€/Monat und im Falle einer fünfmaligen Betreuung 170€/Monat. Die Notfallzehnerkarte kostet z.Z. 25€. </w:t>
      </w:r>
    </w:p>
    <w:p>
      <w:pPr>
        <w:pStyle w:val="Normal"/>
        <w:spacing w:before="0" w:after="759"/>
        <w:ind w:left="-5" w:right="171" w:hanging="10"/>
        <w:rPr/>
      </w:pPr>
      <w:r>
        <w:rPr/>
        <w:t xml:space="preserve">Das Mittagessen kostet zur Zeit 4,30€ pro Mahlzeit und wird nach Liste abgerechnet. Wenn ein Kind, das angemeldet ist, nicht mitessen kann, muss dies am selben Tag bei uns in der Betreuung bis 8 Uhr gemeldet werden. Ansonsten muss das Essen berechnet werden. Alle Beiträge werden bis ca. zum 15. des Monats per Lastschrift eingezogen. Jeder angefangene Betreuungsmonat wird voll angerechnet. </w:t>
      </w:r>
    </w:p>
    <w:p>
      <w:pPr>
        <w:pStyle w:val="Normal"/>
        <w:numPr>
          <w:ilvl w:val="0"/>
          <w:numId w:val="1"/>
        </w:numPr>
        <w:ind w:left="1095" w:hanging="419"/>
        <w:rPr/>
      </w:pPr>
      <w:r>
        <w:rPr/>
        <w:t>Abmeldung</w:t>
      </w:r>
    </w:p>
    <w:p>
      <w:pPr>
        <w:pStyle w:val="Normal"/>
        <w:spacing w:before="0" w:after="247"/>
        <w:ind w:left="-5" w:hanging="10"/>
        <w:rPr/>
      </w:pPr>
      <w:r>
        <w:rPr/>
        <w:t xml:space="preserve">Falls ein Kind nicht in die Betreuung kommen kann, muss die Betreuung bis 8h benachrichtigt werden. Das Essen wird storniert. Die Betreuerinnen können im Notfall über Handy angerufen werden. </w:t>
      </w:r>
    </w:p>
    <w:p>
      <w:pPr>
        <w:pStyle w:val="Normal"/>
        <w:numPr>
          <w:ilvl w:val="0"/>
          <w:numId w:val="1"/>
        </w:numPr>
        <w:ind w:left="1095" w:hanging="419"/>
        <w:rPr/>
      </w:pPr>
      <w:r>
        <w:rPr/>
        <w:t>Unfallversicherung</w:t>
      </w:r>
    </w:p>
    <w:p>
      <w:pPr>
        <w:pStyle w:val="Normal"/>
        <w:spacing w:before="0" w:after="543"/>
        <w:ind w:left="-5" w:hanging="10"/>
        <w:rPr/>
      </w:pPr>
      <w:r>
        <w:rPr/>
        <w:t>Nach dem Unfallversicherungsgesetz sind die Kinder während des Besuches der Betreuenden Grundschule und auf dem direkten Weg von und zur Einrichtung gesetzlich versichert. Der Weg zum und vom Mittagessen ist ebenfalls versichert. Unfälle sind unverzüglich, spätestens jedoch am nächsten Tag, der Schulleitung mitzuteilen. Ebenso ein Arztbesuch, der mit dem Unfall im Zusammenhang steht.</w:t>
      </w:r>
    </w:p>
    <w:p>
      <w:pPr>
        <w:pStyle w:val="Normal"/>
        <w:numPr>
          <w:ilvl w:val="0"/>
          <w:numId w:val="1"/>
        </w:numPr>
        <w:ind w:left="1095" w:hanging="419"/>
        <w:rPr/>
      </w:pPr>
      <w:r>
        <w:rPr/>
        <w:t>Ausschluss aus dem Betreuungsangebot</w:t>
      </w:r>
    </w:p>
    <w:p>
      <w:pPr>
        <w:pStyle w:val="Normal"/>
        <w:ind w:left="-5" w:hanging="10"/>
        <w:rPr/>
      </w:pPr>
      <w:r>
        <w:rPr/>
        <w:t xml:space="preserve">In Fällen schwerwiegenden Fehlverhaltens (z.B. aggressives Verhalten gegenüber Mitschülern bzw. Betreuern, fortwährendes Zerstören von Arbeits- oder Spielmaterialien, Unstimmigkeiten o.ä.) kann ein Kind zeitweise oder auf Dauer vom Besuch der Betreuunden Grundschule ausgeschlossen werden. Dies geschieht in der Regel nach vorheriger Unterredung mit den Eltern/Erziehungsberechtigten. </w:t>
      </w:r>
    </w:p>
    <w:p>
      <w:pPr>
        <w:pStyle w:val="Normal"/>
        <w:ind w:left="-5" w:hanging="10"/>
        <w:rPr/>
      </w:pPr>
      <w:r>
        <w:rPr/>
        <w:t>Bereits gezahlte Beiträge werden nicht erstattet. Über den Ausschluss entscheidet der Gesamtvorstand.</w:t>
      </w:r>
    </w:p>
    <w:p>
      <w:pPr>
        <w:pStyle w:val="Normal"/>
        <w:spacing w:before="0" w:after="267"/>
        <w:ind w:left="-5" w:hanging="10"/>
        <w:rPr/>
      </w:pPr>
      <w:r>
        <w:rPr/>
        <w:t>Sollten Beiträge mehrmals nicht gezahlt werden, kann der Vorstand auch über einen Ausschluss des Kindes bestimmen.</w:t>
      </w:r>
    </w:p>
    <w:p>
      <w:pPr>
        <w:pStyle w:val="Normal"/>
        <w:numPr>
          <w:ilvl w:val="0"/>
          <w:numId w:val="1"/>
        </w:numPr>
        <w:ind w:left="1095" w:hanging="419"/>
        <w:rPr/>
      </w:pPr>
      <w:r>
        <w:rPr/>
        <w:t>Haftung</w:t>
      </w:r>
    </w:p>
    <w:p>
      <w:pPr>
        <w:pStyle w:val="Normal"/>
        <w:ind w:left="-5" w:hanging="10"/>
        <w:rPr/>
      </w:pPr>
      <w:r>
        <w:rPr/>
        <w:t xml:space="preserve">Eltern haften bei mutwilliger Zerstörung fremden Eigentums für ihre Kinder. </w:t>
      </w:r>
    </w:p>
    <w:p>
      <w:pPr>
        <w:pStyle w:val="Normal"/>
        <w:spacing w:before="0" w:after="244"/>
        <w:ind w:left="-5" w:hanging="10"/>
        <w:rPr/>
      </w:pPr>
      <w:r>
        <w:rPr/>
        <w:t>Für mitgebrachte Gegenstände kann keine Haftung übernommen werden.</w:t>
      </w:r>
    </w:p>
    <w:p>
      <w:pPr>
        <w:pStyle w:val="Normal"/>
        <w:numPr>
          <w:ilvl w:val="0"/>
          <w:numId w:val="1"/>
        </w:numPr>
        <w:ind w:left="1095" w:hanging="419"/>
        <w:rPr/>
      </w:pPr>
      <w:r>
        <w:rPr/>
        <w:t>Unternehmungen außerhalb des Betreuungsgeländes</w:t>
      </w:r>
    </w:p>
    <w:p>
      <w:pPr>
        <w:pStyle w:val="Normal"/>
        <w:spacing w:before="0" w:after="247"/>
        <w:ind w:left="-5" w:hanging="10"/>
        <w:rPr/>
      </w:pPr>
      <w:r>
        <w:rPr/>
        <w:t>Für Unternehmungen außerhalb des Betreuungsgeländes muss eine schriftliche Einverständniserklärung vorliegen.</w:t>
      </w:r>
    </w:p>
    <w:p>
      <w:pPr>
        <w:pStyle w:val="Normal"/>
        <w:numPr>
          <w:ilvl w:val="0"/>
          <w:numId w:val="1"/>
        </w:numPr>
        <w:ind w:left="1095" w:hanging="419"/>
        <w:rPr/>
      </w:pPr>
      <w:r>
        <w:rPr/>
        <w:t>Abholung</w:t>
      </w:r>
    </w:p>
    <w:p>
      <w:pPr>
        <w:pStyle w:val="Normal"/>
        <w:ind w:left="-5" w:hanging="10"/>
        <w:rPr/>
      </w:pPr>
      <w:r>
        <w:rPr/>
        <w:t>Den Betreuerinnen muss eine Liste der Personen vorliegen, die das Kind von der Betreuung abholen dürfen.</w:t>
      </w:r>
    </w:p>
    <w:p>
      <w:pPr>
        <w:pStyle w:val="Normal"/>
        <w:spacing w:before="0" w:after="247"/>
        <w:ind w:left="-5" w:hanging="10"/>
        <w:rPr/>
      </w:pPr>
      <w:r>
        <w:rPr/>
        <w:t>Falls ein Kind alleine nach Hause gehen darf, muss auch hierfür ein schriftliches Einverständnis des/der Erziehungsberechtigten vorliegen.</w:t>
      </w:r>
    </w:p>
    <w:p>
      <w:pPr>
        <w:pStyle w:val="Normal"/>
        <w:spacing w:before="0" w:after="247"/>
        <w:ind w:left="-5" w:hanging="10"/>
        <w:rPr/>
      </w:pPr>
      <w:r>
        <w:rPr/>
        <w:tab/>
        <w:tab/>
        <w:tab/>
        <w:t>12. Masernimpfung</w:t>
      </w:r>
    </w:p>
    <w:p>
      <w:pPr>
        <w:pStyle w:val="Normal"/>
        <w:ind w:left="-5" w:hanging="10"/>
        <w:rPr/>
      </w:pPr>
      <w:r>
        <w:rPr/>
        <w:t>Nachweis über bestehende Masernimpfung ist Pflicht für die Aufnahme in die Betreuung.</w:t>
      </w:r>
    </w:p>
    <w:p>
      <w:pPr>
        <w:pStyle w:val="Normal"/>
        <w:ind w:left="-5" w:hanging="10"/>
        <w:rPr/>
      </w:pPr>
      <w:r>
        <w:rPr/>
        <w:t>Kinder mit ansteckenden Krankheiten und Fieber können nicht betreut werden. Die Erkrankung ist unverzüglich mitzuteilen.</w:t>
      </w:r>
    </w:p>
    <w:p>
      <w:pPr>
        <w:pStyle w:val="Normal"/>
        <w:ind w:left="-5" w:hanging="10"/>
        <w:rPr/>
      </w:pPr>
      <w:r>
        <w:rPr/>
      </w:r>
    </w:p>
    <w:p>
      <w:pPr>
        <w:pStyle w:val="Normal"/>
        <w:ind w:left="-5" w:hanging="10"/>
        <w:rPr/>
      </w:pPr>
      <w:r>
        <w:rPr/>
      </w:r>
    </w:p>
    <w:p>
      <w:pPr>
        <w:pStyle w:val="Normal"/>
        <w:tabs>
          <w:tab w:val="clear" w:pos="708"/>
          <w:tab w:val="center" w:pos="7217" w:leader="none"/>
        </w:tabs>
        <w:spacing w:before="0" w:after="4"/>
        <w:ind w:left="-15" w:hanging="0"/>
        <w:rPr/>
      </w:pPr>
      <w:r>
        <w:rPr/>
        <w:t xml:space="preserve">Vorstand des Förderkreises </w:t>
        <w:tab/>
        <w:t>August 2023</w:t>
      </w:r>
    </w:p>
    <w:sectPr>
      <w:type w:val="nextPage"/>
      <w:pgSz w:w="11906" w:h="16838"/>
      <w:pgMar w:left="1802" w:right="1861" w:gutter="0" w:header="0" w:top="1440" w:footer="0" w:bottom="1602"/>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DejaVu San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95" w:hanging="0"/>
      </w:pPr>
      <w:rPr>
        <w:dstrike w:val="false"/>
        <w:strike w:val="false"/>
        <w:vertAlign w:val="baseline"/>
        <w:position w:val="0"/>
        <w:sz w:val="22"/>
        <w:sz w:val="22"/>
        <w:i w:val="false"/>
        <w:u w:val="none" w:color="000000"/>
        <w:b w:val="false"/>
        <w:shd w:fill="auto" w:val="clear"/>
        <w:szCs w:val="22"/>
        <w:rFonts w:ascii="DejaVu Sans" w:hAnsi="DejaVu Sans" w:eastAsia="DejaVu Sans" w:cs="DejaVu Sans"/>
        <w:color w:val="000000"/>
      </w:rPr>
    </w:lvl>
    <w:lvl w:ilvl="1">
      <w:start w:val="1"/>
      <w:numFmt w:val="lowerLetter"/>
      <w:lvlText w:val="%2"/>
      <w:lvlJc w:val="left"/>
      <w:pPr>
        <w:tabs>
          <w:tab w:val="num" w:pos="0"/>
        </w:tabs>
        <w:ind w:left="1793" w:hanging="0"/>
      </w:pPr>
      <w:rPr>
        <w:dstrike w:val="false"/>
        <w:strike w:val="false"/>
        <w:vertAlign w:val="baseline"/>
        <w:position w:val="0"/>
        <w:sz w:val="22"/>
        <w:sz w:val="22"/>
        <w:i w:val="false"/>
        <w:u w:val="none" w:color="000000"/>
        <w:b w:val="false"/>
        <w:shd w:fill="auto" w:val="clear"/>
        <w:szCs w:val="22"/>
        <w:rFonts w:ascii="DejaVu Sans" w:hAnsi="DejaVu Sans" w:eastAsia="DejaVu Sans" w:cs="DejaVu Sans"/>
        <w:color w:val="000000"/>
      </w:rPr>
    </w:lvl>
    <w:lvl w:ilvl="2">
      <w:start w:val="1"/>
      <w:numFmt w:val="lowerRoman"/>
      <w:lvlText w:val="%3"/>
      <w:lvlJc w:val="left"/>
      <w:pPr>
        <w:tabs>
          <w:tab w:val="num" w:pos="0"/>
        </w:tabs>
        <w:ind w:left="2513" w:hanging="0"/>
      </w:pPr>
      <w:rPr>
        <w:dstrike w:val="false"/>
        <w:strike w:val="false"/>
        <w:vertAlign w:val="baseline"/>
        <w:position w:val="0"/>
        <w:sz w:val="22"/>
        <w:sz w:val="22"/>
        <w:i w:val="false"/>
        <w:u w:val="none" w:color="000000"/>
        <w:b w:val="false"/>
        <w:shd w:fill="auto" w:val="clear"/>
        <w:szCs w:val="22"/>
        <w:rFonts w:ascii="DejaVu Sans" w:hAnsi="DejaVu Sans" w:eastAsia="DejaVu Sans" w:cs="DejaVu Sans"/>
        <w:color w:val="000000"/>
      </w:rPr>
    </w:lvl>
    <w:lvl w:ilvl="3">
      <w:start w:val="1"/>
      <w:numFmt w:val="decimal"/>
      <w:lvlText w:val="%4"/>
      <w:lvlJc w:val="left"/>
      <w:pPr>
        <w:tabs>
          <w:tab w:val="num" w:pos="0"/>
        </w:tabs>
        <w:ind w:left="3233" w:hanging="0"/>
      </w:pPr>
      <w:rPr>
        <w:dstrike w:val="false"/>
        <w:strike w:val="false"/>
        <w:vertAlign w:val="baseline"/>
        <w:position w:val="0"/>
        <w:sz w:val="22"/>
        <w:sz w:val="22"/>
        <w:i w:val="false"/>
        <w:u w:val="none" w:color="000000"/>
        <w:b w:val="false"/>
        <w:shd w:fill="auto" w:val="clear"/>
        <w:szCs w:val="22"/>
        <w:rFonts w:ascii="DejaVu Sans" w:hAnsi="DejaVu Sans" w:eastAsia="DejaVu Sans" w:cs="DejaVu Sans"/>
        <w:color w:val="000000"/>
      </w:rPr>
    </w:lvl>
    <w:lvl w:ilvl="4">
      <w:start w:val="1"/>
      <w:numFmt w:val="lowerLetter"/>
      <w:lvlText w:val="%5"/>
      <w:lvlJc w:val="left"/>
      <w:pPr>
        <w:tabs>
          <w:tab w:val="num" w:pos="0"/>
        </w:tabs>
        <w:ind w:left="3953" w:hanging="0"/>
      </w:pPr>
      <w:rPr>
        <w:dstrike w:val="false"/>
        <w:strike w:val="false"/>
        <w:vertAlign w:val="baseline"/>
        <w:position w:val="0"/>
        <w:sz w:val="22"/>
        <w:sz w:val="22"/>
        <w:i w:val="false"/>
        <w:u w:val="none" w:color="000000"/>
        <w:b w:val="false"/>
        <w:shd w:fill="auto" w:val="clear"/>
        <w:szCs w:val="22"/>
        <w:rFonts w:ascii="DejaVu Sans" w:hAnsi="DejaVu Sans" w:eastAsia="DejaVu Sans" w:cs="DejaVu Sans"/>
        <w:color w:val="000000"/>
      </w:rPr>
    </w:lvl>
    <w:lvl w:ilvl="5">
      <w:start w:val="1"/>
      <w:numFmt w:val="lowerRoman"/>
      <w:lvlText w:val="%6"/>
      <w:lvlJc w:val="left"/>
      <w:pPr>
        <w:tabs>
          <w:tab w:val="num" w:pos="0"/>
        </w:tabs>
        <w:ind w:left="4673" w:hanging="0"/>
      </w:pPr>
      <w:rPr>
        <w:dstrike w:val="false"/>
        <w:strike w:val="false"/>
        <w:vertAlign w:val="baseline"/>
        <w:position w:val="0"/>
        <w:sz w:val="22"/>
        <w:sz w:val="22"/>
        <w:i w:val="false"/>
        <w:u w:val="none" w:color="000000"/>
        <w:b w:val="false"/>
        <w:shd w:fill="auto" w:val="clear"/>
        <w:szCs w:val="22"/>
        <w:rFonts w:ascii="DejaVu Sans" w:hAnsi="DejaVu Sans" w:eastAsia="DejaVu Sans" w:cs="DejaVu Sans"/>
        <w:color w:val="000000"/>
      </w:rPr>
    </w:lvl>
    <w:lvl w:ilvl="6">
      <w:start w:val="1"/>
      <w:numFmt w:val="decimal"/>
      <w:lvlText w:val="%7"/>
      <w:lvlJc w:val="left"/>
      <w:pPr>
        <w:tabs>
          <w:tab w:val="num" w:pos="0"/>
        </w:tabs>
        <w:ind w:left="5393" w:hanging="0"/>
      </w:pPr>
      <w:rPr>
        <w:dstrike w:val="false"/>
        <w:strike w:val="false"/>
        <w:vertAlign w:val="baseline"/>
        <w:position w:val="0"/>
        <w:sz w:val="22"/>
        <w:sz w:val="22"/>
        <w:i w:val="false"/>
        <w:u w:val="none" w:color="000000"/>
        <w:b w:val="false"/>
        <w:shd w:fill="auto" w:val="clear"/>
        <w:szCs w:val="22"/>
        <w:rFonts w:ascii="DejaVu Sans" w:hAnsi="DejaVu Sans" w:eastAsia="DejaVu Sans" w:cs="DejaVu Sans"/>
        <w:color w:val="000000"/>
      </w:rPr>
    </w:lvl>
    <w:lvl w:ilvl="7">
      <w:start w:val="1"/>
      <w:numFmt w:val="lowerLetter"/>
      <w:lvlText w:val="%8"/>
      <w:lvlJc w:val="left"/>
      <w:pPr>
        <w:tabs>
          <w:tab w:val="num" w:pos="0"/>
        </w:tabs>
        <w:ind w:left="6113" w:hanging="0"/>
      </w:pPr>
      <w:rPr>
        <w:dstrike w:val="false"/>
        <w:strike w:val="false"/>
        <w:vertAlign w:val="baseline"/>
        <w:position w:val="0"/>
        <w:sz w:val="22"/>
        <w:sz w:val="22"/>
        <w:i w:val="false"/>
        <w:u w:val="none" w:color="000000"/>
        <w:b w:val="false"/>
        <w:shd w:fill="auto" w:val="clear"/>
        <w:szCs w:val="22"/>
        <w:rFonts w:ascii="DejaVu Sans" w:hAnsi="DejaVu Sans" w:eastAsia="DejaVu Sans" w:cs="DejaVu Sans"/>
        <w:color w:val="000000"/>
      </w:rPr>
    </w:lvl>
    <w:lvl w:ilvl="8">
      <w:start w:val="1"/>
      <w:numFmt w:val="lowerRoman"/>
      <w:lvlText w:val="%9"/>
      <w:lvlJc w:val="left"/>
      <w:pPr>
        <w:tabs>
          <w:tab w:val="num" w:pos="0"/>
        </w:tabs>
        <w:ind w:left="6833" w:hanging="0"/>
      </w:pPr>
      <w:rPr>
        <w:dstrike w:val="false"/>
        <w:strike w:val="false"/>
        <w:vertAlign w:val="baseline"/>
        <w:position w:val="0"/>
        <w:sz w:val="22"/>
        <w:sz w:val="22"/>
        <w:i w:val="false"/>
        <w:u w:val="none" w:color="000000"/>
        <w:b w:val="false"/>
        <w:shd w:fill="auto" w:val="clear"/>
        <w:szCs w:val="22"/>
        <w:rFonts w:ascii="DejaVu Sans" w:hAnsi="DejaVu Sans" w:eastAsia="DejaVu Sans" w:cs="DejaVu Sans"/>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kern w:val="2"/>
        <w:sz w:val="22"/>
        <w:szCs w:val="22"/>
        <w:lang w:val="de-DE" w:eastAsia="de-DE"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7" w:before="0" w:after="4"/>
      <w:ind w:left="10" w:hanging="10"/>
      <w:jc w:val="left"/>
    </w:pPr>
    <w:rPr>
      <w:rFonts w:ascii="DejaVu Sans" w:hAnsi="DejaVu Sans" w:eastAsia="DejaVu Sans" w:cs="DejaVu Sans"/>
      <w:color w:val="000000"/>
      <w:kern w:val="2"/>
      <w:sz w:val="22"/>
      <w:szCs w:val="22"/>
      <w:lang w:val="de-DE" w:eastAsia="de-DE"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ListParagraph">
    <w:name w:val="List Paragraph"/>
    <w:basedOn w:val="Normal"/>
    <w:uiPriority w:val="34"/>
    <w:qFormat/>
    <w:rsid w:val="00e151ee"/>
    <w:pPr>
      <w:spacing w:before="0" w:after="4"/>
      <w:ind w:left="720" w:hanging="1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LibreOffice/7.5.3.2$Windows_X86_64 LibreOffice_project/9f56dff12ba03b9acd7730a5a481eea045e468f3</Application>
  <AppVersion>15.0000</AppVersion>
  <Pages>2</Pages>
  <Words>577</Words>
  <Characters>3684</Characters>
  <CharactersWithSpaces>4230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2023-08-04T12:06:00Z</dcterms:created>
  <dc:creator>Sietske &amp; Maarten</dc:creator>
  <dc:description/>
  <dc:language>de-DE</dc:language>
  <cp:lastModifiedBy/>
  <dcterms:modified xsi:type="dcterms:W3CDTF">2023-08-11T11:43:51Z</dcterms:modified>
  <cp:revision>6</cp:revision>
  <dc:subject/>
  <dc:title>Richtlinien fuer die Betreuende Grundschule Haardt</dc:title>
</cp:coreProperties>
</file>

<file path=docProps/custom.xml><?xml version="1.0" encoding="utf-8"?>
<Properties xmlns="http://schemas.openxmlformats.org/officeDocument/2006/custom-properties" xmlns:vt="http://schemas.openxmlformats.org/officeDocument/2006/docPropsVTypes"/>
</file>